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FCA4" w14:textId="14E4E886" w:rsidR="008B5958" w:rsidRPr="00F20EEF" w:rsidRDefault="0004691F">
      <w:p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8B5958" w:rsidRPr="00F20EEF">
        <w:rPr>
          <w:rFonts w:ascii="Segoe UI" w:hAnsi="Segoe UI" w:cs="Segoe UI"/>
        </w:rPr>
        <w:t>core EuroSCAR pour la validation du diagnostic de PEAG</w:t>
      </w:r>
      <w:r>
        <w:rPr>
          <w:rFonts w:ascii="Segoe UI" w:hAnsi="Segoe UI" w:cs="Segoe UI"/>
        </w:rPr>
        <w:t xml:space="preserve"> (Sidoroff 2001)</w:t>
      </w:r>
      <w:r w:rsidR="00F20EEF" w:rsidRPr="00F20EEF">
        <w:rPr>
          <w:rFonts w:ascii="Segoe UI" w:hAnsi="Segoe UI" w:cs="Segoe U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5"/>
        <w:gridCol w:w="2179"/>
        <w:gridCol w:w="2179"/>
        <w:gridCol w:w="2179"/>
      </w:tblGrid>
      <w:tr w:rsidR="00F20EEF" w:rsidRPr="00F20EEF" w14:paraId="30B484DD" w14:textId="77777777" w:rsidTr="008B5958">
        <w:tc>
          <w:tcPr>
            <w:tcW w:w="2525" w:type="dxa"/>
            <w:vMerge w:val="restart"/>
          </w:tcPr>
          <w:p w14:paraId="7B2BF85C" w14:textId="7658334F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Morphologie (aspect clinique)</w:t>
            </w:r>
          </w:p>
        </w:tc>
        <w:tc>
          <w:tcPr>
            <w:tcW w:w="2179" w:type="dxa"/>
            <w:vMerge w:val="restart"/>
          </w:tcPr>
          <w:p w14:paraId="089B26B3" w14:textId="59A7D236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Pustules </w:t>
            </w:r>
          </w:p>
        </w:tc>
        <w:tc>
          <w:tcPr>
            <w:tcW w:w="2179" w:type="dxa"/>
          </w:tcPr>
          <w:p w14:paraId="60E3D5A2" w14:textId="7C69895F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Typiques </w:t>
            </w:r>
          </w:p>
        </w:tc>
        <w:tc>
          <w:tcPr>
            <w:tcW w:w="2179" w:type="dxa"/>
          </w:tcPr>
          <w:p w14:paraId="1F879D91" w14:textId="7F2A447B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+2</w:t>
            </w:r>
          </w:p>
        </w:tc>
      </w:tr>
      <w:tr w:rsidR="00F20EEF" w:rsidRPr="00F20EEF" w14:paraId="5CF43B10" w14:textId="77777777" w:rsidTr="008B5958">
        <w:tc>
          <w:tcPr>
            <w:tcW w:w="2525" w:type="dxa"/>
            <w:vMerge/>
          </w:tcPr>
          <w:p w14:paraId="1859ED2D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7B5BC042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CEC977C" w14:textId="3974CC2D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Compatibles </w:t>
            </w:r>
          </w:p>
        </w:tc>
        <w:tc>
          <w:tcPr>
            <w:tcW w:w="2179" w:type="dxa"/>
          </w:tcPr>
          <w:p w14:paraId="2B7C5C78" w14:textId="6A119C09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F20EEF" w:rsidRPr="00F20EEF" w14:paraId="6409E0F4" w14:textId="77777777" w:rsidTr="008B5958">
        <w:tc>
          <w:tcPr>
            <w:tcW w:w="2525" w:type="dxa"/>
            <w:vMerge/>
          </w:tcPr>
          <w:p w14:paraId="208ABBFE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303A0822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55AB753" w14:textId="7193E60A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Non conclusives  </w:t>
            </w:r>
          </w:p>
        </w:tc>
        <w:tc>
          <w:tcPr>
            <w:tcW w:w="2179" w:type="dxa"/>
          </w:tcPr>
          <w:p w14:paraId="04379989" w14:textId="409BEEEB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149C466C" w14:textId="77777777" w:rsidTr="008B5958">
        <w:tc>
          <w:tcPr>
            <w:tcW w:w="2525" w:type="dxa"/>
            <w:vMerge/>
          </w:tcPr>
          <w:p w14:paraId="6A07D5B7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14:paraId="43996E0A" w14:textId="1D4BBD9F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Erythème</w:t>
            </w:r>
          </w:p>
        </w:tc>
        <w:tc>
          <w:tcPr>
            <w:tcW w:w="2179" w:type="dxa"/>
          </w:tcPr>
          <w:p w14:paraId="499ECEF5" w14:textId="76C5F822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Typique</w:t>
            </w:r>
          </w:p>
        </w:tc>
        <w:tc>
          <w:tcPr>
            <w:tcW w:w="2179" w:type="dxa"/>
          </w:tcPr>
          <w:p w14:paraId="6C76620C" w14:textId="2243E26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+2</w:t>
            </w:r>
          </w:p>
        </w:tc>
      </w:tr>
      <w:tr w:rsidR="00F20EEF" w:rsidRPr="00F20EEF" w14:paraId="6657B15D" w14:textId="77777777" w:rsidTr="008B5958">
        <w:tc>
          <w:tcPr>
            <w:tcW w:w="2525" w:type="dxa"/>
            <w:vMerge/>
          </w:tcPr>
          <w:p w14:paraId="4A464B9D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7C2A4746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5CFB096" w14:textId="23CD2099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Compatible </w:t>
            </w:r>
          </w:p>
        </w:tc>
        <w:tc>
          <w:tcPr>
            <w:tcW w:w="2179" w:type="dxa"/>
          </w:tcPr>
          <w:p w14:paraId="0BB62936" w14:textId="21513B19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F20EEF" w:rsidRPr="00F20EEF" w14:paraId="35730791" w14:textId="77777777" w:rsidTr="008B5958">
        <w:tc>
          <w:tcPr>
            <w:tcW w:w="2525" w:type="dxa"/>
            <w:vMerge/>
          </w:tcPr>
          <w:p w14:paraId="4D3C3831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19209FE6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A448FDD" w14:textId="1BFE223D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Non conclusif</w:t>
            </w:r>
          </w:p>
        </w:tc>
        <w:tc>
          <w:tcPr>
            <w:tcW w:w="2179" w:type="dxa"/>
          </w:tcPr>
          <w:p w14:paraId="534FBF84" w14:textId="4454F1F8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06480616" w14:textId="77777777" w:rsidTr="008B5958">
        <w:tc>
          <w:tcPr>
            <w:tcW w:w="2525" w:type="dxa"/>
            <w:vMerge/>
          </w:tcPr>
          <w:p w14:paraId="18F60CA3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14:paraId="6D89AF74" w14:textId="474501A5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Distribution </w:t>
            </w:r>
          </w:p>
        </w:tc>
        <w:tc>
          <w:tcPr>
            <w:tcW w:w="2179" w:type="dxa"/>
          </w:tcPr>
          <w:p w14:paraId="324F7D37" w14:textId="27073A61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Typique</w:t>
            </w:r>
          </w:p>
        </w:tc>
        <w:tc>
          <w:tcPr>
            <w:tcW w:w="2179" w:type="dxa"/>
          </w:tcPr>
          <w:p w14:paraId="2E838312" w14:textId="5B5751EF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+2</w:t>
            </w:r>
          </w:p>
        </w:tc>
      </w:tr>
      <w:tr w:rsidR="00F20EEF" w:rsidRPr="00F20EEF" w14:paraId="629E72A6" w14:textId="77777777" w:rsidTr="008B5958">
        <w:tc>
          <w:tcPr>
            <w:tcW w:w="2525" w:type="dxa"/>
            <w:vMerge/>
          </w:tcPr>
          <w:p w14:paraId="0343070E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3D7260C7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7F79114" w14:textId="3FEF2E9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Compatible </w:t>
            </w:r>
          </w:p>
        </w:tc>
        <w:tc>
          <w:tcPr>
            <w:tcW w:w="2179" w:type="dxa"/>
          </w:tcPr>
          <w:p w14:paraId="1F85947E" w14:textId="55DB3EDB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F20EEF" w:rsidRPr="00F20EEF" w14:paraId="5C3DAE17" w14:textId="77777777" w:rsidTr="008B5958">
        <w:tc>
          <w:tcPr>
            <w:tcW w:w="2525" w:type="dxa"/>
            <w:vMerge/>
          </w:tcPr>
          <w:p w14:paraId="3C6A2E8A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508833DB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43A3C97" w14:textId="301CB494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Non conclusi</w:t>
            </w:r>
            <w:r w:rsidR="001D2962">
              <w:rPr>
                <w:rFonts w:ascii="Segoe UI" w:hAnsi="Segoe UI" w:cs="Segoe UI"/>
                <w:sz w:val="20"/>
                <w:szCs w:val="20"/>
              </w:rPr>
              <w:t>ve</w:t>
            </w: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</w:tcPr>
          <w:p w14:paraId="19333324" w14:textId="4AAB5FF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25BD589D" w14:textId="77777777" w:rsidTr="008B5958">
        <w:tc>
          <w:tcPr>
            <w:tcW w:w="2525" w:type="dxa"/>
            <w:vMerge/>
          </w:tcPr>
          <w:p w14:paraId="6197A763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14:paraId="11FD7AF4" w14:textId="070A72EB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Desquamation post-pustuleuse</w:t>
            </w:r>
          </w:p>
        </w:tc>
        <w:tc>
          <w:tcPr>
            <w:tcW w:w="2179" w:type="dxa"/>
          </w:tcPr>
          <w:p w14:paraId="44628B07" w14:textId="1A66D6AE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Présente </w:t>
            </w:r>
          </w:p>
        </w:tc>
        <w:tc>
          <w:tcPr>
            <w:tcW w:w="2179" w:type="dxa"/>
          </w:tcPr>
          <w:p w14:paraId="137C61B7" w14:textId="1219E3AA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F20EEF" w:rsidRPr="00F20EEF" w14:paraId="71BBDFCA" w14:textId="77777777" w:rsidTr="008B5958">
        <w:tc>
          <w:tcPr>
            <w:tcW w:w="2525" w:type="dxa"/>
            <w:vMerge/>
          </w:tcPr>
          <w:p w14:paraId="48931102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4D005D4E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208628A" w14:textId="13E8F473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Absente/non conclusive</w:t>
            </w:r>
          </w:p>
        </w:tc>
        <w:tc>
          <w:tcPr>
            <w:tcW w:w="2179" w:type="dxa"/>
          </w:tcPr>
          <w:p w14:paraId="36B8FC82" w14:textId="063FB851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7610422F" w14:textId="77777777" w:rsidTr="008B5958">
        <w:tc>
          <w:tcPr>
            <w:tcW w:w="2525" w:type="dxa"/>
            <w:vMerge w:val="restart"/>
          </w:tcPr>
          <w:p w14:paraId="20A3AC9D" w14:textId="76BDAF04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Evolution et biologie</w:t>
            </w:r>
          </w:p>
        </w:tc>
        <w:tc>
          <w:tcPr>
            <w:tcW w:w="2179" w:type="dxa"/>
            <w:vMerge w:val="restart"/>
          </w:tcPr>
          <w:p w14:paraId="4221C785" w14:textId="34B65E34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Atteinte muqueuse</w:t>
            </w:r>
          </w:p>
        </w:tc>
        <w:tc>
          <w:tcPr>
            <w:tcW w:w="2179" w:type="dxa"/>
          </w:tcPr>
          <w:p w14:paraId="24F013E8" w14:textId="2939A139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Présente </w:t>
            </w:r>
          </w:p>
        </w:tc>
        <w:tc>
          <w:tcPr>
            <w:tcW w:w="2179" w:type="dxa"/>
          </w:tcPr>
          <w:p w14:paraId="293875E9" w14:textId="007E4A9B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-2</w:t>
            </w:r>
          </w:p>
        </w:tc>
      </w:tr>
      <w:tr w:rsidR="00F20EEF" w:rsidRPr="00F20EEF" w14:paraId="1EFE1727" w14:textId="77777777" w:rsidTr="008B5958">
        <w:tc>
          <w:tcPr>
            <w:tcW w:w="2525" w:type="dxa"/>
            <w:vMerge/>
          </w:tcPr>
          <w:p w14:paraId="68C07952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3AFB394C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2D1F1C6" w14:textId="6468A0A5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Absente </w:t>
            </w:r>
          </w:p>
        </w:tc>
        <w:tc>
          <w:tcPr>
            <w:tcW w:w="2179" w:type="dxa"/>
          </w:tcPr>
          <w:p w14:paraId="5B35189D" w14:textId="0800DF39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6C62EEE5" w14:textId="77777777" w:rsidTr="008B5958">
        <w:tc>
          <w:tcPr>
            <w:tcW w:w="2525" w:type="dxa"/>
            <w:vMerge/>
          </w:tcPr>
          <w:p w14:paraId="6FED7987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14:paraId="045C3292" w14:textId="2D585B61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Début aigu depuis moins de 10 jours</w:t>
            </w:r>
          </w:p>
        </w:tc>
        <w:tc>
          <w:tcPr>
            <w:tcW w:w="2179" w:type="dxa"/>
          </w:tcPr>
          <w:p w14:paraId="600CCEB3" w14:textId="763E1304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</w:p>
        </w:tc>
        <w:tc>
          <w:tcPr>
            <w:tcW w:w="2179" w:type="dxa"/>
          </w:tcPr>
          <w:p w14:paraId="666283B0" w14:textId="15D4AC4C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1D1968BD" w14:textId="77777777" w:rsidTr="008B5958">
        <w:tc>
          <w:tcPr>
            <w:tcW w:w="2525" w:type="dxa"/>
            <w:vMerge/>
          </w:tcPr>
          <w:p w14:paraId="1EDC6C28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092DF0A2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2752FDF" w14:textId="54DF4E88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</w:tc>
        <w:tc>
          <w:tcPr>
            <w:tcW w:w="2179" w:type="dxa"/>
          </w:tcPr>
          <w:p w14:paraId="24BA609F" w14:textId="03426CDF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-2</w:t>
            </w:r>
          </w:p>
        </w:tc>
      </w:tr>
      <w:tr w:rsidR="00F20EEF" w:rsidRPr="00F20EEF" w14:paraId="3371AF20" w14:textId="77777777" w:rsidTr="008B5958">
        <w:tc>
          <w:tcPr>
            <w:tcW w:w="2525" w:type="dxa"/>
            <w:vMerge/>
          </w:tcPr>
          <w:p w14:paraId="346AF87F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14:paraId="06CC0080" w14:textId="7C9D0976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Guérison en moins de 15 jours</w:t>
            </w:r>
          </w:p>
        </w:tc>
        <w:tc>
          <w:tcPr>
            <w:tcW w:w="2179" w:type="dxa"/>
          </w:tcPr>
          <w:p w14:paraId="5B3BD23D" w14:textId="775FCE70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</w:p>
        </w:tc>
        <w:tc>
          <w:tcPr>
            <w:tcW w:w="2179" w:type="dxa"/>
          </w:tcPr>
          <w:p w14:paraId="20FD60A7" w14:textId="188AE42C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777C0D39" w14:textId="77777777" w:rsidTr="008B5958">
        <w:tc>
          <w:tcPr>
            <w:tcW w:w="2525" w:type="dxa"/>
            <w:vMerge/>
          </w:tcPr>
          <w:p w14:paraId="44BA0323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2F1730FB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7BEC9CD" w14:textId="22F127A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</w:tc>
        <w:tc>
          <w:tcPr>
            <w:tcW w:w="2179" w:type="dxa"/>
          </w:tcPr>
          <w:p w14:paraId="5D50954A" w14:textId="3C166759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-4</w:t>
            </w:r>
          </w:p>
        </w:tc>
      </w:tr>
      <w:tr w:rsidR="00F20EEF" w:rsidRPr="00F20EEF" w14:paraId="189EE16F" w14:textId="77777777" w:rsidTr="008B5958">
        <w:tc>
          <w:tcPr>
            <w:tcW w:w="2525" w:type="dxa"/>
            <w:vMerge/>
          </w:tcPr>
          <w:p w14:paraId="19E19530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14:paraId="7E2508FB" w14:textId="17DB46DF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Fièvre ≥38°C</w:t>
            </w:r>
          </w:p>
        </w:tc>
        <w:tc>
          <w:tcPr>
            <w:tcW w:w="2179" w:type="dxa"/>
          </w:tcPr>
          <w:p w14:paraId="6DD68E60" w14:textId="63305191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</w:p>
        </w:tc>
        <w:tc>
          <w:tcPr>
            <w:tcW w:w="2179" w:type="dxa"/>
          </w:tcPr>
          <w:p w14:paraId="5B20E931" w14:textId="3454903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F20EEF" w:rsidRPr="00F20EEF" w14:paraId="66CD8736" w14:textId="77777777" w:rsidTr="008B5958">
        <w:tc>
          <w:tcPr>
            <w:tcW w:w="2525" w:type="dxa"/>
            <w:vMerge/>
          </w:tcPr>
          <w:p w14:paraId="0F06BD5D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109B5482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205A9C9" w14:textId="1924B40B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</w:tc>
        <w:tc>
          <w:tcPr>
            <w:tcW w:w="2179" w:type="dxa"/>
          </w:tcPr>
          <w:p w14:paraId="1E4F6474" w14:textId="2B2D5B62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1BB71DC9" w14:textId="77777777" w:rsidTr="008B5958">
        <w:tc>
          <w:tcPr>
            <w:tcW w:w="2525" w:type="dxa"/>
            <w:vMerge/>
          </w:tcPr>
          <w:p w14:paraId="00440054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14:paraId="4BCD35AF" w14:textId="23C8C625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PNN </w:t>
            </w:r>
            <w:r w:rsidRPr="00F20EEF">
              <w:rPr>
                <w:rFonts w:ascii="Segoe UI" w:hAnsi="Segoe UI" w:cs="Segoe UI"/>
                <w:sz w:val="20"/>
                <w:szCs w:val="20"/>
              </w:rPr>
              <w:t>≥</w:t>
            </w:r>
            <w:r w:rsidRPr="00F20EEF">
              <w:rPr>
                <w:rFonts w:ascii="Segoe UI" w:hAnsi="Segoe UI" w:cs="Segoe UI"/>
                <w:sz w:val="20"/>
                <w:szCs w:val="20"/>
              </w:rPr>
              <w:t>7000/mm</w:t>
            </w:r>
            <w:r w:rsidRPr="00F20EEF"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179" w:type="dxa"/>
          </w:tcPr>
          <w:p w14:paraId="1A9169FF" w14:textId="2FACF429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</w:p>
        </w:tc>
        <w:tc>
          <w:tcPr>
            <w:tcW w:w="2179" w:type="dxa"/>
          </w:tcPr>
          <w:p w14:paraId="579C2152" w14:textId="191F8E81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F20EEF" w:rsidRPr="00F20EEF" w14:paraId="57F38139" w14:textId="77777777" w:rsidTr="008B5958">
        <w:tc>
          <w:tcPr>
            <w:tcW w:w="2525" w:type="dxa"/>
            <w:vMerge/>
          </w:tcPr>
          <w:p w14:paraId="511B779C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25C8821A" w14:textId="77777777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833DE8A" w14:textId="6AAABAE2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</w:tc>
        <w:tc>
          <w:tcPr>
            <w:tcW w:w="2179" w:type="dxa"/>
          </w:tcPr>
          <w:p w14:paraId="18ED055D" w14:textId="32D07001" w:rsidR="00F20EEF" w:rsidRPr="00F20EEF" w:rsidRDefault="00F20EEF" w:rsidP="008B5958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724884F5" w14:textId="77777777" w:rsidTr="008B5958">
        <w:tc>
          <w:tcPr>
            <w:tcW w:w="2525" w:type="dxa"/>
            <w:vMerge w:val="restart"/>
          </w:tcPr>
          <w:p w14:paraId="6500719F" w14:textId="3E16B689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Histologie </w:t>
            </w:r>
          </w:p>
        </w:tc>
        <w:tc>
          <w:tcPr>
            <w:tcW w:w="2179" w:type="dxa"/>
          </w:tcPr>
          <w:p w14:paraId="5D13D9C5" w14:textId="1793E21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Autre diagnostic</w:t>
            </w:r>
          </w:p>
        </w:tc>
        <w:tc>
          <w:tcPr>
            <w:tcW w:w="2179" w:type="dxa"/>
          </w:tcPr>
          <w:p w14:paraId="5D9641D1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867D44D" w14:textId="4D8D6ADC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-10</w:t>
            </w:r>
          </w:p>
        </w:tc>
      </w:tr>
      <w:tr w:rsidR="00F20EEF" w:rsidRPr="00F20EEF" w14:paraId="3EABF933" w14:textId="77777777" w:rsidTr="00101E90">
        <w:tc>
          <w:tcPr>
            <w:tcW w:w="2525" w:type="dxa"/>
            <w:vMerge/>
          </w:tcPr>
          <w:p w14:paraId="7DEFF5CD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gridSpan w:val="2"/>
          </w:tcPr>
          <w:p w14:paraId="490EB149" w14:textId="3C9FB292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Non représentative ou histologie non faite</w:t>
            </w:r>
          </w:p>
        </w:tc>
        <w:tc>
          <w:tcPr>
            <w:tcW w:w="2179" w:type="dxa"/>
          </w:tcPr>
          <w:p w14:paraId="53B4158F" w14:textId="317A5B08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20EEF" w:rsidRPr="00F20EEF" w14:paraId="61E31E54" w14:textId="77777777" w:rsidTr="00641984">
        <w:tc>
          <w:tcPr>
            <w:tcW w:w="2525" w:type="dxa"/>
            <w:vMerge/>
          </w:tcPr>
          <w:p w14:paraId="1440EC66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gridSpan w:val="2"/>
          </w:tcPr>
          <w:p w14:paraId="0395DA58" w14:textId="17D76F56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Exocytose de PNN</w:t>
            </w:r>
          </w:p>
        </w:tc>
        <w:tc>
          <w:tcPr>
            <w:tcW w:w="2179" w:type="dxa"/>
          </w:tcPr>
          <w:p w14:paraId="26E6088F" w14:textId="361D5F48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F20EEF" w:rsidRPr="00F20EEF" w14:paraId="1A8D7FB1" w14:textId="77777777" w:rsidTr="00A413C1">
        <w:tc>
          <w:tcPr>
            <w:tcW w:w="2525" w:type="dxa"/>
            <w:vMerge/>
          </w:tcPr>
          <w:p w14:paraId="3400A5D0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gridSpan w:val="2"/>
          </w:tcPr>
          <w:p w14:paraId="6B0E0BE4" w14:textId="76ADB13E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Pustules sous-cornées ou intraépidermiques non spongiformes avec œdème papillaire ou pustules spongiformes sans œdème papillaire </w:t>
            </w:r>
          </w:p>
        </w:tc>
        <w:tc>
          <w:tcPr>
            <w:tcW w:w="2179" w:type="dxa"/>
          </w:tcPr>
          <w:p w14:paraId="14EB1B92" w14:textId="61F5C016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+2</w:t>
            </w:r>
          </w:p>
        </w:tc>
      </w:tr>
      <w:tr w:rsidR="00F20EEF" w:rsidRPr="00F20EEF" w14:paraId="5C6C469C" w14:textId="77777777" w:rsidTr="00023425">
        <w:tc>
          <w:tcPr>
            <w:tcW w:w="2525" w:type="dxa"/>
            <w:vMerge/>
          </w:tcPr>
          <w:p w14:paraId="141E247B" w14:textId="77777777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gridSpan w:val="2"/>
          </w:tcPr>
          <w:p w14:paraId="636A35C8" w14:textId="2B77A216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Pustules </w:t>
            </w:r>
            <w:r w:rsidRPr="00F20EEF">
              <w:rPr>
                <w:rFonts w:ascii="Segoe UI" w:hAnsi="Segoe UI" w:cs="Segoe UI"/>
                <w:sz w:val="20"/>
                <w:szCs w:val="20"/>
              </w:rPr>
              <w:t xml:space="preserve">sous-cornées ou intraépidermiques </w:t>
            </w:r>
            <w:r w:rsidRPr="00F20EEF">
              <w:rPr>
                <w:rFonts w:ascii="Segoe UI" w:hAnsi="Segoe UI" w:cs="Segoe UI"/>
                <w:sz w:val="20"/>
                <w:szCs w:val="20"/>
              </w:rPr>
              <w:t>spongiformes avec œdème papillaire</w:t>
            </w:r>
          </w:p>
        </w:tc>
        <w:tc>
          <w:tcPr>
            <w:tcW w:w="2179" w:type="dxa"/>
          </w:tcPr>
          <w:p w14:paraId="7C9E3536" w14:textId="6D258A42" w:rsidR="00F20EEF" w:rsidRPr="00F20EEF" w:rsidRDefault="00F20EEF">
            <w:pPr>
              <w:rPr>
                <w:rFonts w:ascii="Segoe UI" w:hAnsi="Segoe UI" w:cs="Segoe UI"/>
                <w:sz w:val="20"/>
                <w:szCs w:val="20"/>
              </w:rPr>
            </w:pPr>
            <w:r w:rsidRPr="00F20EEF">
              <w:rPr>
                <w:rFonts w:ascii="Segoe UI" w:hAnsi="Segoe UI" w:cs="Segoe UI"/>
                <w:sz w:val="20"/>
                <w:szCs w:val="20"/>
              </w:rPr>
              <w:t>+3</w:t>
            </w:r>
          </w:p>
        </w:tc>
      </w:tr>
    </w:tbl>
    <w:p w14:paraId="28D9D2C4" w14:textId="77777777" w:rsidR="00F20EEF" w:rsidRPr="00F20EEF" w:rsidRDefault="00F20EEF">
      <w:pPr>
        <w:rPr>
          <w:rFonts w:ascii="Segoe UI" w:hAnsi="Segoe UI" w:cs="Segoe UI"/>
          <w:i/>
          <w:iCs/>
          <w:sz w:val="18"/>
          <w:szCs w:val="18"/>
        </w:rPr>
      </w:pPr>
      <w:r w:rsidRPr="00F20EEF">
        <w:rPr>
          <w:rFonts w:ascii="Segoe UI" w:hAnsi="Segoe UI" w:cs="Segoe UI"/>
          <w:i/>
          <w:iCs/>
          <w:sz w:val="18"/>
          <w:szCs w:val="18"/>
        </w:rPr>
        <w:t>PNN : polynucléaires neutrophiles</w:t>
      </w:r>
    </w:p>
    <w:p w14:paraId="58E53D7A" w14:textId="6D744AC8" w:rsidR="00F20EEF" w:rsidRPr="00F20EEF" w:rsidRDefault="00F20EEF">
      <w:pPr>
        <w:rPr>
          <w:rFonts w:ascii="Segoe UI" w:hAnsi="Segoe UI" w:cs="Segoe UI"/>
          <w:b/>
          <w:bCs/>
        </w:rPr>
      </w:pPr>
      <w:r w:rsidRPr="00F20EEF">
        <w:rPr>
          <w:rFonts w:ascii="Segoe UI" w:hAnsi="Segoe UI" w:cs="Segoe UI"/>
          <w:b/>
          <w:bCs/>
        </w:rPr>
        <w:t>INTERPRETATION :</w:t>
      </w:r>
    </w:p>
    <w:p w14:paraId="6C947CC6" w14:textId="3267F315" w:rsidR="00F20EEF" w:rsidRPr="00F20EEF" w:rsidRDefault="00F20EEF">
      <w:pPr>
        <w:rPr>
          <w:rFonts w:ascii="Segoe UI" w:hAnsi="Segoe UI" w:cs="Segoe UI"/>
          <w:b/>
          <w:bCs/>
        </w:rPr>
      </w:pPr>
      <w:r w:rsidRPr="00F20EEF">
        <w:rPr>
          <w:rFonts w:ascii="Segoe UI" w:hAnsi="Segoe UI" w:cs="Segoe UI"/>
          <w:b/>
          <w:bCs/>
        </w:rPr>
        <w:t xml:space="preserve">0 : pas de PEAG ; 1 à 4 : PEAG possible ; 5 à 7 : PEAG probable ; 8 à 12 : PEAG certaine </w:t>
      </w:r>
    </w:p>
    <w:sectPr w:rsidR="00F20EEF" w:rsidRPr="00F2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8"/>
    <w:rsid w:val="0004691F"/>
    <w:rsid w:val="001D2962"/>
    <w:rsid w:val="008B5958"/>
    <w:rsid w:val="00F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6C83"/>
  <w15:chartTrackingRefBased/>
  <w15:docId w15:val="{00A239F6-FD70-45E3-A348-673D2B4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95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B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 Saskia</dc:creator>
  <cp:keywords/>
  <dc:description/>
  <cp:lastModifiedBy>ORO Saskia</cp:lastModifiedBy>
  <cp:revision>3</cp:revision>
  <dcterms:created xsi:type="dcterms:W3CDTF">2020-06-21T20:36:00Z</dcterms:created>
  <dcterms:modified xsi:type="dcterms:W3CDTF">2020-06-21T20:36:00Z</dcterms:modified>
</cp:coreProperties>
</file>